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B821C" w14:textId="77777777" w:rsidR="009F77B7" w:rsidRPr="00857E20" w:rsidRDefault="009F77B7" w:rsidP="009F77B7">
      <w:pPr>
        <w:pStyle w:val="ROZDZODDZOZNoznaczenierozdziauluboddziau"/>
        <w:rPr>
          <w:b/>
        </w:rPr>
      </w:pPr>
      <w:r w:rsidRPr="001932A1">
        <w:rPr>
          <w:rStyle w:val="Ppogrubienie"/>
        </w:rPr>
        <w:t>UZASADNIENIE</w:t>
      </w:r>
    </w:p>
    <w:p w14:paraId="03ADDB65" w14:textId="071CA756" w:rsidR="00C52350" w:rsidRPr="009D4608" w:rsidRDefault="009F77B7" w:rsidP="00C52350">
      <w:pPr>
        <w:pStyle w:val="NIEARTTEKSTtekstnieartykuowanynppodstprawnarozplubpreambua"/>
      </w:pPr>
      <w:r w:rsidRPr="00413BBE">
        <w:t>Opracowanie i przyjęcie Strategii Cyberbezpieczeństwa Rzeczypospolitej Polskiej</w:t>
      </w:r>
      <w:r w:rsidR="00C52350">
        <w:t xml:space="preserve">, </w:t>
      </w:r>
      <w:r w:rsidR="00065160">
        <w:t xml:space="preserve">zwanej </w:t>
      </w:r>
      <w:r w:rsidR="00C52350">
        <w:t>dalej „Strategi</w:t>
      </w:r>
      <w:r w:rsidR="00065160">
        <w:t>ą</w:t>
      </w:r>
      <w:r w:rsidR="00C52350">
        <w:t>”,</w:t>
      </w:r>
      <w:r w:rsidRPr="00413BBE">
        <w:t xml:space="preserve"> jest wymogiem realizacji przepisu art. 68 ustawy z dnia 5 lipca 2018</w:t>
      </w:r>
      <w:r w:rsidR="008B2D4D">
        <w:t> </w:t>
      </w:r>
      <w:r w:rsidRPr="00413BBE">
        <w:t>r. o</w:t>
      </w:r>
      <w:r w:rsidR="00C52350">
        <w:t> </w:t>
      </w:r>
      <w:r w:rsidRPr="00413BBE">
        <w:t>krajowym systemie cyberbe</w:t>
      </w:r>
      <w:r>
        <w:t>zpieczeństwa (</w:t>
      </w:r>
      <w:r w:rsidRPr="00FA16E1">
        <w:t>Dz.</w:t>
      </w:r>
      <w:r w:rsidR="00C52350">
        <w:t xml:space="preserve"> </w:t>
      </w:r>
      <w:r w:rsidRPr="00FA16E1">
        <w:t xml:space="preserve">U. z 2024 r. poz. 1077 </w:t>
      </w:r>
      <w:r w:rsidR="00C52350">
        <w:t>i 1222</w:t>
      </w:r>
      <w:r>
        <w:t xml:space="preserve">). </w:t>
      </w:r>
      <w:r w:rsidRPr="009F77B7">
        <w:t>Wraz z końcem 2024 r. upły</w:t>
      </w:r>
      <w:r w:rsidR="00E443BA">
        <w:t>nął</w:t>
      </w:r>
      <w:r w:rsidRPr="009F77B7">
        <w:t xml:space="preserve"> 5-letni okres na jaki ustanowiona została Strategia na lata 2019</w:t>
      </w:r>
      <w:r w:rsidR="00DB3847">
        <w:t>–</w:t>
      </w:r>
      <w:r w:rsidRPr="009F77B7">
        <w:t>2024</w:t>
      </w:r>
      <w:r w:rsidR="00C52350" w:rsidRPr="00046252">
        <w:t xml:space="preserve">, </w:t>
      </w:r>
      <w:r w:rsidR="00C52350" w:rsidRPr="009D4608">
        <w:t>przyjęt</w:t>
      </w:r>
      <w:r w:rsidR="00741F11">
        <w:t>a</w:t>
      </w:r>
      <w:r w:rsidR="00C52350" w:rsidRPr="009D4608">
        <w:t xml:space="preserve"> u</w:t>
      </w:r>
      <w:r w:rsidR="00C52350" w:rsidRPr="00046252">
        <w:t>chwał</w:t>
      </w:r>
      <w:r w:rsidR="00C52350" w:rsidRPr="009D4608">
        <w:t>ą</w:t>
      </w:r>
      <w:r w:rsidR="00C52350" w:rsidRPr="00046252">
        <w:t xml:space="preserve"> nr 125 Rady Ministrów z dnia 22 października 2019 r. w sprawie Strategii Cyberbezpieczeństwa Rzeczypospolitej Polskiej na lata 2019–2024</w:t>
      </w:r>
      <w:r w:rsidR="00C52350" w:rsidRPr="009D4608">
        <w:t xml:space="preserve"> (M.P. poz. 1037).</w:t>
      </w:r>
    </w:p>
    <w:p w14:paraId="2DA9A744" w14:textId="03A066C5" w:rsidR="009F77B7" w:rsidRDefault="009F77B7" w:rsidP="003D432E">
      <w:pPr>
        <w:pStyle w:val="NIEARTTEKSTtekstnieartykuowanynppodstprawnarozplubpreambua"/>
      </w:pPr>
      <w:r w:rsidRPr="00413BBE">
        <w:t>Strategia określa cele strategiczne oraz odpowiednie środki polityczne</w:t>
      </w:r>
      <w:r w:rsidR="00046252">
        <w:t xml:space="preserve"> i regulacyjne</w:t>
      </w:r>
      <w:r w:rsidRPr="00413BBE">
        <w:t xml:space="preserve">, które mają na celu </w:t>
      </w:r>
      <w:r w:rsidR="00D55F43">
        <w:t>podnoszenie i utrzymywanie</w:t>
      </w:r>
      <w:r w:rsidRPr="00413BBE">
        <w:t xml:space="preserve"> poziomu cyberbezpieczeństwa R</w:t>
      </w:r>
      <w:r w:rsidR="00DB3847">
        <w:t xml:space="preserve">zeczypospolitej </w:t>
      </w:r>
      <w:r w:rsidRPr="00413BBE">
        <w:t>P</w:t>
      </w:r>
      <w:r w:rsidR="00DB3847">
        <w:t>olskiej</w:t>
      </w:r>
      <w:r w:rsidRPr="00413BBE">
        <w:t>. Stale zmieniające się uwarunkowania związane z bezpieczeństwem w</w:t>
      </w:r>
      <w:r w:rsidR="00525AC5">
        <w:t> </w:t>
      </w:r>
      <w:r w:rsidRPr="00413BBE">
        <w:t>cyberprzestrzeni wymagają szybkiej i</w:t>
      </w:r>
      <w:r w:rsidR="00C52350">
        <w:t> </w:t>
      </w:r>
      <w:r w:rsidRPr="00413BBE">
        <w:t xml:space="preserve">zdecydowanej reakcji organów państwa. </w:t>
      </w:r>
      <w:r w:rsidR="00D55F43" w:rsidRPr="00D55F43">
        <w:t>Poziom zagrożeń w</w:t>
      </w:r>
      <w:r w:rsidR="00DB3847">
        <w:t> </w:t>
      </w:r>
      <w:r w:rsidR="00D55F43" w:rsidRPr="00D55F43">
        <w:t>cyberprzestrzeni wzrasta w</w:t>
      </w:r>
      <w:r w:rsidR="00C52350">
        <w:t> </w:t>
      </w:r>
      <w:r w:rsidR="00D55F43" w:rsidRPr="00D55F43">
        <w:t>wymiarze globalnym i krajowym, gdyż pojawiają się nowe rodzaje zagrożeń oraz wzrasta aktywność grup prowadzących nielegalne działania w</w:t>
      </w:r>
      <w:r w:rsidR="009D4608">
        <w:t> </w:t>
      </w:r>
      <w:r w:rsidR="00D55F43" w:rsidRPr="00D55F43">
        <w:t>świecie cyfrowym, począwszy od haktywistów, przez grupy cyberprzestępcze o charakterze zarobkowym, po grupy powiązane z</w:t>
      </w:r>
      <w:r w:rsidR="001B3789">
        <w:t xml:space="preserve"> </w:t>
      </w:r>
      <w:r w:rsidR="00D55F43" w:rsidRPr="00D55F43">
        <w:t>innymi państwami. Zagrożenia te mają wpływ na codzienne funkcjonowanie, bezpieczeństwo i prywatność obywateli, przedsiębiorstw i</w:t>
      </w:r>
      <w:r w:rsidR="00DB3847">
        <w:t> </w:t>
      </w:r>
      <w:r w:rsidR="00D55F43" w:rsidRPr="00D55F43">
        <w:t>instytucji publicznych.</w:t>
      </w:r>
      <w:r w:rsidRPr="00413BBE">
        <w:t xml:space="preserve"> </w:t>
      </w:r>
      <w:r w:rsidR="003D432E">
        <w:t>W</w:t>
      </w:r>
      <w:r w:rsidRPr="00413BBE">
        <w:t xml:space="preserve">ażne </w:t>
      </w:r>
      <w:r w:rsidR="003D432E">
        <w:t>przy tym jest za</w:t>
      </w:r>
      <w:r w:rsidRPr="00413BBE">
        <w:t>pewnienie jak najszerszej współpracy przy wdrażaniu i rozwijaniu Krajowego Systemu Cyberbezpieczeństwa ze strony ministerstw i</w:t>
      </w:r>
      <w:r w:rsidR="00DB3847">
        <w:t> </w:t>
      </w:r>
      <w:r w:rsidRPr="00413BBE">
        <w:t>innych organów władzy państwowej.</w:t>
      </w:r>
    </w:p>
    <w:p w14:paraId="36A6134C" w14:textId="6030D544" w:rsidR="003149A6" w:rsidRDefault="003149A6" w:rsidP="003149A6">
      <w:pPr>
        <w:pStyle w:val="ARTartustawynprozporzdzenia"/>
      </w:pPr>
      <w:r w:rsidRPr="00413BBE">
        <w:t xml:space="preserve">Strategia </w:t>
      </w:r>
      <w:r>
        <w:t>wyznacza najważniejsze kierunki działań państwa w</w:t>
      </w:r>
      <w:r w:rsidR="00F40C35">
        <w:t> </w:t>
      </w:r>
      <w:r>
        <w:t>obszarze cyberbezpieczeństwa. W dokumencie sformułowany jest cel główny związany z</w:t>
      </w:r>
      <w:r w:rsidR="00F40C35">
        <w:t> </w:t>
      </w:r>
      <w:r>
        <w:t>podniesieniem poziomu odporności krajowych podmiotów funkcjonujących w</w:t>
      </w:r>
      <w:r w:rsidR="00F40C35">
        <w:t> </w:t>
      </w:r>
      <w:r>
        <w:t xml:space="preserve">cyberprzestrzeni, jak również </w:t>
      </w:r>
      <w:r w:rsidR="008D110A">
        <w:t>sześć</w:t>
      </w:r>
      <w:r>
        <w:t xml:space="preserve"> celów szczegółowych odnoszących się do:</w:t>
      </w:r>
    </w:p>
    <w:p w14:paraId="1C3F195D" w14:textId="1F6AD2D8" w:rsidR="003149A6" w:rsidRDefault="008D110A" w:rsidP="00046252">
      <w:pPr>
        <w:pStyle w:val="ARTartustawynprozporzdzenia"/>
        <w:numPr>
          <w:ilvl w:val="0"/>
          <w:numId w:val="1"/>
        </w:numPr>
        <w:ind w:left="851"/>
      </w:pPr>
      <w:r>
        <w:t>doskonalenia</w:t>
      </w:r>
      <w:r w:rsidR="003149A6">
        <w:t xml:space="preserve"> krajowego systemu cyberbezpieczeństwa; </w:t>
      </w:r>
    </w:p>
    <w:p w14:paraId="51785B5C" w14:textId="5FA1F2B2" w:rsidR="008D110A" w:rsidRDefault="008D110A" w:rsidP="00046252">
      <w:pPr>
        <w:pStyle w:val="ARTartustawynprozporzdzenia"/>
        <w:numPr>
          <w:ilvl w:val="0"/>
          <w:numId w:val="1"/>
        </w:numPr>
        <w:ind w:left="851"/>
      </w:pPr>
      <w:r>
        <w:t>p</w:t>
      </w:r>
      <w:r w:rsidRPr="008D110A">
        <w:t>rzeciwdziałani</w:t>
      </w:r>
      <w:r>
        <w:t>a</w:t>
      </w:r>
      <w:r w:rsidRPr="008D110A">
        <w:t xml:space="preserve"> i zwalczani</w:t>
      </w:r>
      <w:r>
        <w:t>a</w:t>
      </w:r>
      <w:r w:rsidRPr="008D110A">
        <w:t xml:space="preserve"> cyberprzestępczości oraz uzyskani</w:t>
      </w:r>
      <w:r>
        <w:t xml:space="preserve">a </w:t>
      </w:r>
      <w:r w:rsidRPr="008D110A">
        <w:t>zdolności do prowadzenia pełnego spektrum działań w cyberprzestrzeni</w:t>
      </w:r>
      <w:r w:rsidR="009D4608">
        <w:t>;</w:t>
      </w:r>
    </w:p>
    <w:p w14:paraId="3BBCB497" w14:textId="1E1CC773" w:rsidR="003149A6" w:rsidRDefault="003149A6" w:rsidP="00046252">
      <w:pPr>
        <w:pStyle w:val="ARTartustawynprozporzdzenia"/>
        <w:numPr>
          <w:ilvl w:val="0"/>
          <w:numId w:val="1"/>
        </w:numPr>
        <w:ind w:left="851"/>
      </w:pPr>
      <w:r>
        <w:t>podniesieni</w:t>
      </w:r>
      <w:r w:rsidR="00F40C35">
        <w:t>a</w:t>
      </w:r>
      <w:r>
        <w:t xml:space="preserve"> poziomu odporności systemów informacyjnych w sferze publicznej oraz prywatnej; </w:t>
      </w:r>
    </w:p>
    <w:p w14:paraId="5168DA59" w14:textId="66138E4A" w:rsidR="003149A6" w:rsidRDefault="003149A6" w:rsidP="00046252">
      <w:pPr>
        <w:pStyle w:val="ARTartustawynprozporzdzenia"/>
        <w:numPr>
          <w:ilvl w:val="0"/>
          <w:numId w:val="1"/>
        </w:numPr>
        <w:ind w:left="851"/>
      </w:pPr>
      <w:r>
        <w:t>zwiększanie potencjału krajowej bazy technologiczno-przemysłowej oraz wzmocnienie suwerenności technologicznej w obszarze cyberbezpieczeństwa</w:t>
      </w:r>
      <w:r w:rsidR="009D4608">
        <w:t>;</w:t>
      </w:r>
    </w:p>
    <w:p w14:paraId="3E8D6BD6" w14:textId="60712C57" w:rsidR="003149A6" w:rsidRPr="00D76BDA" w:rsidRDefault="003149A6" w:rsidP="00046252">
      <w:pPr>
        <w:pStyle w:val="ARTartustawynprozporzdzenia"/>
        <w:numPr>
          <w:ilvl w:val="0"/>
          <w:numId w:val="1"/>
        </w:numPr>
        <w:spacing w:after="120"/>
        <w:ind w:left="851"/>
        <w:rPr>
          <w:rFonts w:ascii="Times New Roman" w:hAnsi="Times New Roman" w:cs="Times New Roman"/>
        </w:rPr>
      </w:pPr>
      <w:r w:rsidRPr="00D76BDA">
        <w:rPr>
          <w:rFonts w:ascii="Times New Roman" w:hAnsi="Times New Roman" w:cs="Times New Roman"/>
        </w:rPr>
        <w:lastRenderedPageBreak/>
        <w:t>budowania świadomości, wiedzy i kompetencji kadr podmiotów krajowego systemu cyberbezpieczeństwa oraz obywateli</w:t>
      </w:r>
      <w:r w:rsidR="009D4608">
        <w:rPr>
          <w:rFonts w:ascii="Times New Roman" w:hAnsi="Times New Roman" w:cs="Times New Roman"/>
        </w:rPr>
        <w:t>;</w:t>
      </w:r>
    </w:p>
    <w:p w14:paraId="096416B5" w14:textId="5861C66E" w:rsidR="001B3789" w:rsidRPr="00D76BDA" w:rsidRDefault="003149A6" w:rsidP="00046252">
      <w:pPr>
        <w:pStyle w:val="ARTartustawynprozporzdzenia"/>
        <w:numPr>
          <w:ilvl w:val="0"/>
          <w:numId w:val="1"/>
        </w:numPr>
        <w:spacing w:after="120"/>
        <w:ind w:left="851"/>
        <w:rPr>
          <w:rFonts w:ascii="Times New Roman" w:hAnsi="Times New Roman" w:cs="Times New Roman"/>
        </w:rPr>
      </w:pPr>
      <w:r w:rsidRPr="00D76BDA">
        <w:rPr>
          <w:rFonts w:ascii="Times New Roman" w:hAnsi="Times New Roman" w:cs="Times New Roman"/>
        </w:rPr>
        <w:t>wzmocnienia pozycji międzynarodowej Rzeczypospolitej Polskiej w obszarze cyberbezpieczeństwa.</w:t>
      </w:r>
    </w:p>
    <w:p w14:paraId="4E031C7E" w14:textId="5F18F4E4" w:rsidR="008D110A" w:rsidRPr="00D76BDA" w:rsidRDefault="003149A6" w:rsidP="00D76BDA">
      <w:pPr>
        <w:pStyle w:val="ARTartustawynprozporzdzenia"/>
        <w:spacing w:after="120"/>
        <w:rPr>
          <w:rFonts w:ascii="Times New Roman" w:hAnsi="Times New Roman" w:cs="Times New Roman"/>
        </w:rPr>
      </w:pPr>
      <w:r w:rsidRPr="00D76BDA">
        <w:rPr>
          <w:rFonts w:ascii="Times New Roman" w:hAnsi="Times New Roman" w:cs="Times New Roman"/>
        </w:rPr>
        <w:t>Dokument określa szereg przedsięwzięć, które pozwolą osiągnąć zakładane cele, w tym zmiany regulacyjne, instytucjonalne</w:t>
      </w:r>
      <w:r w:rsidR="00F40C35" w:rsidRPr="00D76BDA">
        <w:rPr>
          <w:rFonts w:ascii="Times New Roman" w:hAnsi="Times New Roman" w:cs="Times New Roman"/>
        </w:rPr>
        <w:t xml:space="preserve">, </w:t>
      </w:r>
      <w:r w:rsidRPr="00D76BDA">
        <w:rPr>
          <w:rFonts w:ascii="Times New Roman" w:hAnsi="Times New Roman" w:cs="Times New Roman"/>
        </w:rPr>
        <w:t>działania operacyjne i techniczne</w:t>
      </w:r>
      <w:r w:rsidR="00F40C35" w:rsidRPr="00D76BDA">
        <w:rPr>
          <w:rFonts w:ascii="Times New Roman" w:hAnsi="Times New Roman" w:cs="Times New Roman"/>
        </w:rPr>
        <w:t xml:space="preserve"> oraz inwestycyjne</w:t>
      </w:r>
      <w:r w:rsidRPr="00D76BDA">
        <w:rPr>
          <w:rFonts w:ascii="Times New Roman" w:hAnsi="Times New Roman" w:cs="Times New Roman"/>
        </w:rPr>
        <w:t>. Przewidziane kierunki interwencji państwa wynikają z</w:t>
      </w:r>
      <w:r w:rsidR="00162BAF" w:rsidRPr="00D76BDA">
        <w:rPr>
          <w:rFonts w:ascii="Times New Roman" w:hAnsi="Times New Roman" w:cs="Times New Roman"/>
        </w:rPr>
        <w:t xml:space="preserve"> wniosków </w:t>
      </w:r>
      <w:r w:rsidR="009D4608">
        <w:rPr>
          <w:rFonts w:ascii="Times New Roman" w:hAnsi="Times New Roman" w:cs="Times New Roman"/>
        </w:rPr>
        <w:t>oraz</w:t>
      </w:r>
      <w:r w:rsidR="00162BAF" w:rsidRPr="00D76BDA">
        <w:rPr>
          <w:rFonts w:ascii="Times New Roman" w:hAnsi="Times New Roman" w:cs="Times New Roman"/>
        </w:rPr>
        <w:t xml:space="preserve"> doświadczeń funkcjonowania Krajowego Systemu Cyberbezpieczeństwa, zmian technologicznych oraz </w:t>
      </w:r>
      <w:r w:rsidR="009D4608">
        <w:rPr>
          <w:rFonts w:ascii="Times New Roman" w:hAnsi="Times New Roman" w:cs="Times New Roman"/>
        </w:rPr>
        <w:t xml:space="preserve">zmian </w:t>
      </w:r>
      <w:r w:rsidR="00162BAF" w:rsidRPr="00D76BDA">
        <w:rPr>
          <w:rFonts w:ascii="Times New Roman" w:hAnsi="Times New Roman" w:cs="Times New Roman"/>
        </w:rPr>
        <w:t>w środowisku bezpieczeństwa międzynarodowego, jak również ewoluującego i</w:t>
      </w:r>
      <w:r w:rsidR="009D4608">
        <w:rPr>
          <w:rFonts w:ascii="Times New Roman" w:hAnsi="Times New Roman" w:cs="Times New Roman"/>
        </w:rPr>
        <w:t> </w:t>
      </w:r>
      <w:r w:rsidR="00162BAF" w:rsidRPr="00D76BDA">
        <w:rPr>
          <w:rFonts w:ascii="Times New Roman" w:hAnsi="Times New Roman" w:cs="Times New Roman"/>
        </w:rPr>
        <w:t>rozszerzającego się prawodawstwa dotyczącego cyberbezpieczeństwa, w tym na poziomie Unii Europejskiej.</w:t>
      </w:r>
      <w:r w:rsidR="008D110A" w:rsidRPr="00D76BDA">
        <w:rPr>
          <w:rFonts w:ascii="Times New Roman" w:hAnsi="Times New Roman" w:cs="Times New Roman"/>
        </w:rPr>
        <w:t xml:space="preserve"> </w:t>
      </w:r>
    </w:p>
    <w:p w14:paraId="1CA51643" w14:textId="7D73F5AE" w:rsidR="008D110A" w:rsidRPr="00D76BDA" w:rsidRDefault="008D110A" w:rsidP="00D76BDA">
      <w:pPr>
        <w:pStyle w:val="ARTartustawynprozporzdzenia"/>
        <w:spacing w:after="120"/>
        <w:rPr>
          <w:rFonts w:ascii="Times New Roman" w:hAnsi="Times New Roman" w:cs="Times New Roman"/>
        </w:rPr>
      </w:pPr>
      <w:r w:rsidRPr="00D76BDA">
        <w:rPr>
          <w:rFonts w:ascii="Times New Roman" w:hAnsi="Times New Roman" w:cs="Times New Roman"/>
        </w:rPr>
        <w:t>Zakres Strategii jest znacząco odmienny od dokumentu obowiązującego w latach 2019</w:t>
      </w:r>
      <w:r w:rsidR="009D4608">
        <w:rPr>
          <w:rFonts w:ascii="Times New Roman" w:hAnsi="Times New Roman" w:cs="Times New Roman"/>
        </w:rPr>
        <w:sym w:font="Symbol" w:char="F02D"/>
      </w:r>
      <w:r w:rsidRPr="00D76BDA">
        <w:rPr>
          <w:rFonts w:ascii="Times New Roman" w:hAnsi="Times New Roman" w:cs="Times New Roman"/>
        </w:rPr>
        <w:t>2024. Nowa Strategia obejmuje wiele nowych elementów, co wynika z ewolucji Krajowego Systemu Cyberbezpieczeństwa oraz zmiany postrzegania samego cyberbezpieczeństwa. No</w:t>
      </w:r>
      <w:r w:rsidR="009D4608">
        <w:rPr>
          <w:rFonts w:ascii="Times New Roman" w:hAnsi="Times New Roman" w:cs="Times New Roman"/>
        </w:rPr>
        <w:t xml:space="preserve">wością </w:t>
      </w:r>
      <w:r w:rsidRPr="00D76BDA">
        <w:rPr>
          <w:rFonts w:ascii="Times New Roman" w:hAnsi="Times New Roman" w:cs="Times New Roman"/>
        </w:rPr>
        <w:t xml:space="preserve">jest dołączony w postaci załącznika </w:t>
      </w:r>
      <w:r w:rsidR="009D4608">
        <w:rPr>
          <w:rFonts w:ascii="Times New Roman" w:hAnsi="Times New Roman" w:cs="Times New Roman"/>
        </w:rPr>
        <w:t>„</w:t>
      </w:r>
      <w:r w:rsidRPr="00D76BDA">
        <w:rPr>
          <w:rFonts w:ascii="Times New Roman" w:hAnsi="Times New Roman" w:cs="Times New Roman"/>
        </w:rPr>
        <w:t>Plan działań na rzecz wdrożenia Strategii Cyberbezpieczeństwa Rzeczypospolitej Polskiej</w:t>
      </w:r>
      <w:r w:rsidR="009D4608">
        <w:rPr>
          <w:rFonts w:ascii="Times New Roman" w:hAnsi="Times New Roman" w:cs="Times New Roman"/>
        </w:rPr>
        <w:t>”</w:t>
      </w:r>
      <w:r w:rsidRPr="00D76BDA">
        <w:rPr>
          <w:rFonts w:ascii="Times New Roman" w:hAnsi="Times New Roman" w:cs="Times New Roman"/>
        </w:rPr>
        <w:t>, który zawiera nowe szczegółow</w:t>
      </w:r>
      <w:r w:rsidR="009D4608">
        <w:rPr>
          <w:rFonts w:ascii="Times New Roman" w:hAnsi="Times New Roman" w:cs="Times New Roman"/>
        </w:rPr>
        <w:t>o</w:t>
      </w:r>
      <w:r w:rsidRPr="00D76BDA">
        <w:rPr>
          <w:rFonts w:ascii="Times New Roman" w:hAnsi="Times New Roman" w:cs="Times New Roman"/>
        </w:rPr>
        <w:t xml:space="preserve"> określone zadania służące realizacji Strategii. </w:t>
      </w:r>
    </w:p>
    <w:p w14:paraId="47267566" w14:textId="43B8BB99" w:rsidR="00D76BDA" w:rsidRPr="00D76BDA" w:rsidRDefault="00D76BDA" w:rsidP="00D76BDA">
      <w:pPr>
        <w:pStyle w:val="ARTartustawynprozporzdzenia"/>
        <w:spacing w:after="120"/>
        <w:rPr>
          <w:rFonts w:ascii="Times New Roman" w:hAnsi="Times New Roman" w:cs="Times New Roman"/>
          <w:szCs w:val="24"/>
        </w:rPr>
      </w:pPr>
      <w:r w:rsidRPr="00D76BDA">
        <w:rPr>
          <w:rFonts w:ascii="Times New Roman" w:hAnsi="Times New Roman" w:cs="Times New Roman"/>
          <w:szCs w:val="24"/>
        </w:rPr>
        <w:t>W zakresie realizacji celu szczegółowego „Rozwój krajowego systemu cyberbezpieczeństwa” przewidziano następujące kierunki interwencji:</w:t>
      </w:r>
    </w:p>
    <w:p w14:paraId="414A82BE" w14:textId="76783256" w:rsidR="00D76BDA" w:rsidRPr="00D76BDA" w:rsidRDefault="009D4608" w:rsidP="00046252">
      <w:pPr>
        <w:pStyle w:val="ARTartustawynprozporzdzenia"/>
        <w:numPr>
          <w:ilvl w:val="0"/>
          <w:numId w:val="15"/>
        </w:numPr>
        <w:spacing w:after="120"/>
        <w:ind w:left="85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</w:t>
      </w:r>
      <w:r w:rsidR="00D76BDA" w:rsidRPr="00D76BDA">
        <w:rPr>
          <w:rFonts w:ascii="Times New Roman" w:hAnsi="Times New Roman" w:cs="Times New Roman"/>
          <w:szCs w:val="24"/>
        </w:rPr>
        <w:t>oskonalenie krajowego systemu cyberbezpieczeństwa</w:t>
      </w:r>
      <w:r w:rsidR="00D76BDA">
        <w:rPr>
          <w:rFonts w:ascii="Times New Roman" w:hAnsi="Times New Roman" w:cs="Times New Roman"/>
          <w:szCs w:val="24"/>
        </w:rPr>
        <w:t>;</w:t>
      </w:r>
    </w:p>
    <w:p w14:paraId="62867FD3" w14:textId="7F02151D" w:rsidR="00D76BDA" w:rsidRPr="00D76BDA" w:rsidRDefault="009D4608" w:rsidP="00046252">
      <w:pPr>
        <w:pStyle w:val="ARTartustawynprozporzdzenia"/>
        <w:numPr>
          <w:ilvl w:val="0"/>
          <w:numId w:val="15"/>
        </w:numPr>
        <w:spacing w:after="120"/>
        <w:ind w:left="85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="00D76BDA" w:rsidRPr="00D76BDA">
        <w:rPr>
          <w:rFonts w:ascii="Times New Roman" w:hAnsi="Times New Roman" w:cs="Times New Roman"/>
          <w:szCs w:val="24"/>
        </w:rPr>
        <w:t>odniesienie efektywności krajowego systemu cyberbezpieczeństwa</w:t>
      </w:r>
      <w:r w:rsidR="00D76BDA">
        <w:rPr>
          <w:rFonts w:ascii="Times New Roman" w:hAnsi="Times New Roman" w:cs="Times New Roman"/>
          <w:szCs w:val="24"/>
        </w:rPr>
        <w:t>;</w:t>
      </w:r>
    </w:p>
    <w:p w14:paraId="5CE2A275" w14:textId="1DF53980" w:rsidR="00D76BDA" w:rsidRPr="00D76BDA" w:rsidRDefault="009D4608" w:rsidP="00046252">
      <w:pPr>
        <w:pStyle w:val="ARTartustawynprozporzdzenia"/>
        <w:numPr>
          <w:ilvl w:val="0"/>
          <w:numId w:val="15"/>
        </w:numPr>
        <w:spacing w:after="120"/>
        <w:ind w:left="85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</w:t>
      </w:r>
      <w:r w:rsidR="00D76BDA" w:rsidRPr="00D76BDA">
        <w:rPr>
          <w:rFonts w:ascii="Times New Roman" w:hAnsi="Times New Roman" w:cs="Times New Roman"/>
          <w:szCs w:val="24"/>
        </w:rPr>
        <w:t>ozwój zintegrowanego systemu wymiany informacji na potrzeby zapewnienia ciągłości funkcjonowania administracji państwowej, bezpieczeństwa narodowego i</w:t>
      </w:r>
      <w:r>
        <w:rPr>
          <w:rFonts w:ascii="Times New Roman" w:hAnsi="Times New Roman" w:cs="Times New Roman"/>
          <w:szCs w:val="24"/>
        </w:rPr>
        <w:t> </w:t>
      </w:r>
      <w:r w:rsidR="00D76BDA" w:rsidRPr="00D76BDA">
        <w:rPr>
          <w:rFonts w:ascii="Times New Roman" w:hAnsi="Times New Roman" w:cs="Times New Roman"/>
          <w:szCs w:val="24"/>
        </w:rPr>
        <w:t>ochrony ludności</w:t>
      </w:r>
      <w:r w:rsidR="00D76BDA">
        <w:rPr>
          <w:rFonts w:ascii="Times New Roman" w:hAnsi="Times New Roman" w:cs="Times New Roman"/>
          <w:szCs w:val="24"/>
        </w:rPr>
        <w:t>;</w:t>
      </w:r>
    </w:p>
    <w:p w14:paraId="7D7F566A" w14:textId="73A421BD" w:rsidR="00D76BDA" w:rsidRPr="00D76BDA" w:rsidRDefault="009D4608" w:rsidP="00046252">
      <w:pPr>
        <w:pStyle w:val="ARTartustawynprozporzdzenia"/>
        <w:numPr>
          <w:ilvl w:val="0"/>
          <w:numId w:val="15"/>
        </w:numPr>
        <w:spacing w:after="120"/>
        <w:ind w:left="85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</w:t>
      </w:r>
      <w:r w:rsidR="00D76BDA" w:rsidRPr="00D76BDA">
        <w:rPr>
          <w:rFonts w:ascii="Times New Roman" w:hAnsi="Times New Roman" w:cs="Times New Roman"/>
          <w:szCs w:val="24"/>
        </w:rPr>
        <w:t>większanie cyberbezpieczeństwa podmiotów nadzorowanych przez organy właściwe do spraw cyberbezpieczeństwa</w:t>
      </w:r>
      <w:r w:rsidR="00D76BDA">
        <w:rPr>
          <w:rFonts w:ascii="Times New Roman" w:hAnsi="Times New Roman" w:cs="Times New Roman"/>
          <w:szCs w:val="24"/>
        </w:rPr>
        <w:t>;</w:t>
      </w:r>
    </w:p>
    <w:p w14:paraId="4DB38015" w14:textId="6982E8E8" w:rsidR="00D76BDA" w:rsidRPr="00D76BDA" w:rsidRDefault="009D4608" w:rsidP="00046252">
      <w:pPr>
        <w:pStyle w:val="ARTartustawynprozporzdzenia"/>
        <w:numPr>
          <w:ilvl w:val="0"/>
          <w:numId w:val="15"/>
        </w:numPr>
        <w:spacing w:after="120"/>
        <w:ind w:left="85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</w:t>
      </w:r>
      <w:r w:rsidR="00D76BDA" w:rsidRPr="00D76BDA">
        <w:rPr>
          <w:rFonts w:ascii="Times New Roman" w:hAnsi="Times New Roman" w:cs="Times New Roman"/>
          <w:szCs w:val="24"/>
        </w:rPr>
        <w:t>ypracowanie i wdrożenie metodyki szacowania ryzyka na poziomie krajowym</w:t>
      </w:r>
      <w:r w:rsidR="00D76BDA">
        <w:rPr>
          <w:rFonts w:ascii="Times New Roman" w:hAnsi="Times New Roman" w:cs="Times New Roman"/>
          <w:szCs w:val="24"/>
        </w:rPr>
        <w:t>.</w:t>
      </w:r>
    </w:p>
    <w:p w14:paraId="4A07A36A" w14:textId="59BE3BA4" w:rsidR="00D76BDA" w:rsidRPr="00D76BDA" w:rsidRDefault="00D76BDA" w:rsidP="00D76BDA">
      <w:pPr>
        <w:pStyle w:val="ARTartustawynprozporzdzenia"/>
        <w:spacing w:after="120"/>
        <w:rPr>
          <w:rFonts w:ascii="Times New Roman" w:hAnsi="Times New Roman" w:cs="Times New Roman"/>
          <w:szCs w:val="24"/>
        </w:rPr>
      </w:pPr>
      <w:r w:rsidRPr="00D76BDA">
        <w:rPr>
          <w:rFonts w:ascii="Times New Roman" w:hAnsi="Times New Roman" w:cs="Times New Roman"/>
          <w:szCs w:val="24"/>
        </w:rPr>
        <w:t>W zakresie realizacji celu szczegółowego „Przeciwdziałanie i zwalczanie cyberprzestępczości oraz uzyskanie zdolności do prowadzenia pełnego spektrum działań w</w:t>
      </w:r>
      <w:r w:rsidR="009D4608">
        <w:rPr>
          <w:rFonts w:ascii="Times New Roman" w:hAnsi="Times New Roman" w:cs="Times New Roman"/>
          <w:szCs w:val="24"/>
        </w:rPr>
        <w:t> </w:t>
      </w:r>
      <w:r w:rsidRPr="00D76BDA">
        <w:rPr>
          <w:rFonts w:ascii="Times New Roman" w:hAnsi="Times New Roman" w:cs="Times New Roman"/>
          <w:szCs w:val="24"/>
        </w:rPr>
        <w:t>cyberprzestrzeni” przewidziano następujące kierunki interwencji:</w:t>
      </w:r>
    </w:p>
    <w:p w14:paraId="2C1A24B8" w14:textId="6AE9D3C9" w:rsidR="00D76BDA" w:rsidRPr="00D76BDA" w:rsidRDefault="009D4608" w:rsidP="00046252">
      <w:pPr>
        <w:pStyle w:val="ARTartustawynprozporzdzenia"/>
        <w:numPr>
          <w:ilvl w:val="0"/>
          <w:numId w:val="13"/>
        </w:numPr>
        <w:spacing w:after="120"/>
        <w:ind w:left="851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w</w:t>
      </w:r>
      <w:r w:rsidR="00D76BDA" w:rsidRPr="00D76BDA">
        <w:rPr>
          <w:rFonts w:ascii="Times New Roman" w:hAnsi="Times New Roman" w:cs="Times New Roman"/>
          <w:szCs w:val="24"/>
        </w:rPr>
        <w:t>prowadzenie regulacji skuteczniej pozwalających zwalczać cyberprzestępczość</w:t>
      </w:r>
      <w:r w:rsidR="00D76BDA">
        <w:rPr>
          <w:rFonts w:ascii="Times New Roman" w:hAnsi="Times New Roman" w:cs="Times New Roman"/>
          <w:szCs w:val="24"/>
        </w:rPr>
        <w:t>;</w:t>
      </w:r>
    </w:p>
    <w:p w14:paraId="01FF7380" w14:textId="4CE63566" w:rsidR="00D76BDA" w:rsidRPr="00D76BDA" w:rsidRDefault="009D4608" w:rsidP="00046252">
      <w:pPr>
        <w:pStyle w:val="ARTartustawynprozporzdzenia"/>
        <w:numPr>
          <w:ilvl w:val="0"/>
          <w:numId w:val="13"/>
        </w:numPr>
        <w:spacing w:after="120"/>
        <w:ind w:left="851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</w:t>
      </w:r>
      <w:r w:rsidR="00D76BDA" w:rsidRPr="00D76BDA">
        <w:rPr>
          <w:rFonts w:ascii="Times New Roman" w:hAnsi="Times New Roman" w:cs="Times New Roman"/>
          <w:szCs w:val="24"/>
        </w:rPr>
        <w:t>zmocnienie wyspecjalizowanych struktur zwalczania cyberprzestępczości</w:t>
      </w:r>
      <w:r w:rsidR="00D76BDA">
        <w:rPr>
          <w:rFonts w:ascii="Times New Roman" w:hAnsi="Times New Roman" w:cs="Times New Roman"/>
          <w:szCs w:val="24"/>
        </w:rPr>
        <w:t>;</w:t>
      </w:r>
    </w:p>
    <w:p w14:paraId="339472EB" w14:textId="3667FE8A" w:rsidR="00D76BDA" w:rsidRPr="00D76BDA" w:rsidRDefault="009D4608" w:rsidP="00046252">
      <w:pPr>
        <w:pStyle w:val="ARTartustawynprozporzdzenia"/>
        <w:numPr>
          <w:ilvl w:val="0"/>
          <w:numId w:val="13"/>
        </w:numPr>
        <w:spacing w:after="120"/>
        <w:ind w:left="851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="00D76BDA" w:rsidRPr="00D76BDA">
        <w:rPr>
          <w:rFonts w:ascii="Times New Roman" w:hAnsi="Times New Roman" w:cs="Times New Roman"/>
          <w:szCs w:val="24"/>
        </w:rPr>
        <w:t>odnoszenie zdolności analitycznych organów ścigania</w:t>
      </w:r>
      <w:r w:rsidR="006E38C5">
        <w:rPr>
          <w:rFonts w:ascii="Times New Roman" w:hAnsi="Times New Roman" w:cs="Times New Roman"/>
          <w:szCs w:val="24"/>
        </w:rPr>
        <w:t>, służb specjalnych</w:t>
      </w:r>
      <w:r w:rsidR="00D76BDA" w:rsidRPr="00D76BDA">
        <w:rPr>
          <w:rFonts w:ascii="Times New Roman" w:hAnsi="Times New Roman" w:cs="Times New Roman"/>
          <w:szCs w:val="24"/>
        </w:rPr>
        <w:t xml:space="preserve"> i wymiaru sprawiedliwości przy wykorzystaniu nowych technologii</w:t>
      </w:r>
      <w:r w:rsidR="00D76BDA">
        <w:rPr>
          <w:rFonts w:ascii="Times New Roman" w:hAnsi="Times New Roman" w:cs="Times New Roman"/>
          <w:szCs w:val="24"/>
        </w:rPr>
        <w:t>.</w:t>
      </w:r>
    </w:p>
    <w:p w14:paraId="6DE6AE19" w14:textId="377B9811" w:rsidR="00D76BDA" w:rsidRPr="00D76BDA" w:rsidRDefault="00D76BDA" w:rsidP="00D76BDA">
      <w:pPr>
        <w:pStyle w:val="ARTartustawynprozporzdzenia"/>
        <w:spacing w:after="120"/>
        <w:rPr>
          <w:rFonts w:ascii="Times New Roman" w:hAnsi="Times New Roman" w:cs="Times New Roman"/>
          <w:szCs w:val="24"/>
        </w:rPr>
      </w:pPr>
      <w:r w:rsidRPr="00D76BDA">
        <w:rPr>
          <w:rFonts w:ascii="Times New Roman" w:hAnsi="Times New Roman" w:cs="Times New Roman"/>
          <w:szCs w:val="24"/>
        </w:rPr>
        <w:t>W zakresie realizacji celu szczegółowego „Podniesienie poziomu odporności systemów informacyjnych w sferze publicznej (w tym militarnej) oraz prywatnej” przewidziano następujące kierunki interwencji:</w:t>
      </w:r>
    </w:p>
    <w:p w14:paraId="3DA309EE" w14:textId="273FF094" w:rsidR="00D76BDA" w:rsidRPr="00D76BDA" w:rsidRDefault="009D4608" w:rsidP="00046252">
      <w:pPr>
        <w:pStyle w:val="ARTartustawynprozporzdzenia"/>
        <w:numPr>
          <w:ilvl w:val="0"/>
          <w:numId w:val="11"/>
        </w:numPr>
        <w:spacing w:after="120"/>
        <w:ind w:left="851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="00D76BDA" w:rsidRPr="00D76BDA">
        <w:rPr>
          <w:rFonts w:ascii="Times New Roman" w:hAnsi="Times New Roman" w:cs="Times New Roman"/>
          <w:szCs w:val="24"/>
        </w:rPr>
        <w:t>odniesienie poziomu odporności systemów informacyjnych</w:t>
      </w:r>
      <w:r w:rsidR="00D76BDA">
        <w:rPr>
          <w:rFonts w:ascii="Times New Roman" w:hAnsi="Times New Roman" w:cs="Times New Roman"/>
          <w:szCs w:val="24"/>
        </w:rPr>
        <w:t>;</w:t>
      </w:r>
    </w:p>
    <w:p w14:paraId="32C0C28F" w14:textId="7269110F" w:rsidR="00D76BDA" w:rsidRPr="00D76BDA" w:rsidRDefault="009D4608" w:rsidP="00046252">
      <w:pPr>
        <w:pStyle w:val="ARTartustawynprozporzdzenia"/>
        <w:numPr>
          <w:ilvl w:val="0"/>
          <w:numId w:val="11"/>
        </w:numPr>
        <w:spacing w:after="120"/>
        <w:ind w:left="851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</w:t>
      </w:r>
      <w:r w:rsidR="00D76BDA" w:rsidRPr="00D76BDA">
        <w:rPr>
          <w:rFonts w:ascii="Times New Roman" w:hAnsi="Times New Roman" w:cs="Times New Roman"/>
          <w:szCs w:val="24"/>
        </w:rPr>
        <w:t>ozwój krajowej krypto</w:t>
      </w:r>
      <w:r w:rsidR="006E38C5">
        <w:rPr>
          <w:rFonts w:ascii="Times New Roman" w:hAnsi="Times New Roman" w:cs="Times New Roman"/>
          <w:szCs w:val="24"/>
        </w:rPr>
        <w:t>logii</w:t>
      </w:r>
      <w:r w:rsidR="00D76BDA" w:rsidRPr="00D76BDA">
        <w:rPr>
          <w:rFonts w:ascii="Times New Roman" w:hAnsi="Times New Roman" w:cs="Times New Roman"/>
          <w:szCs w:val="24"/>
        </w:rPr>
        <w:t>, w tym migracja do kryptografii postkwantowej oraz rozwój technologii kwantowych</w:t>
      </w:r>
      <w:r w:rsidR="00D76BDA">
        <w:rPr>
          <w:rFonts w:ascii="Times New Roman" w:hAnsi="Times New Roman" w:cs="Times New Roman"/>
          <w:szCs w:val="24"/>
        </w:rPr>
        <w:t>;</w:t>
      </w:r>
    </w:p>
    <w:p w14:paraId="5D44C71D" w14:textId="5A6B7028" w:rsidR="00D76BDA" w:rsidRPr="00D76BDA" w:rsidRDefault="009D4608" w:rsidP="00046252">
      <w:pPr>
        <w:pStyle w:val="ARTartustawynprozporzdzenia"/>
        <w:numPr>
          <w:ilvl w:val="0"/>
          <w:numId w:val="11"/>
        </w:numPr>
        <w:spacing w:after="120"/>
        <w:ind w:left="851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</w:t>
      </w:r>
      <w:r w:rsidR="00D76BDA" w:rsidRPr="00D76BDA">
        <w:rPr>
          <w:rFonts w:ascii="Times New Roman" w:hAnsi="Times New Roman" w:cs="Times New Roman"/>
          <w:szCs w:val="24"/>
        </w:rPr>
        <w:t>ozwiązania chmurowe dla wzmocnienia odporności systemów informacyjnych</w:t>
      </w:r>
      <w:r w:rsidR="00D76BDA">
        <w:rPr>
          <w:rFonts w:ascii="Times New Roman" w:hAnsi="Times New Roman" w:cs="Times New Roman"/>
          <w:szCs w:val="24"/>
        </w:rPr>
        <w:t>.</w:t>
      </w:r>
    </w:p>
    <w:p w14:paraId="2364AB2E" w14:textId="59131773" w:rsidR="00D76BDA" w:rsidRPr="00D76BDA" w:rsidRDefault="00D76BDA" w:rsidP="00D76BDA">
      <w:pPr>
        <w:pStyle w:val="ARTartustawynprozporzdzenia"/>
        <w:spacing w:after="120"/>
        <w:rPr>
          <w:rFonts w:ascii="Times New Roman" w:hAnsi="Times New Roman" w:cs="Times New Roman"/>
          <w:szCs w:val="24"/>
        </w:rPr>
      </w:pPr>
      <w:r w:rsidRPr="00D76BDA">
        <w:rPr>
          <w:rFonts w:ascii="Times New Roman" w:hAnsi="Times New Roman" w:cs="Times New Roman"/>
          <w:szCs w:val="24"/>
        </w:rPr>
        <w:t>W zakresie realizacji celu szczegółowego „Zwiększanie potencjału krajowej bazy technologiczno-przemysłowej oraz wzmocnienie suwerenności technologicznej Rzeczypospolitej Polskiej w obszarze cyberbezpieczeństwa” przewidziano następujące kierunki interwencji:</w:t>
      </w:r>
    </w:p>
    <w:p w14:paraId="32AAF276" w14:textId="03586D62" w:rsidR="00D76BDA" w:rsidRPr="00D76BDA" w:rsidRDefault="004F6EB0" w:rsidP="00046252">
      <w:pPr>
        <w:pStyle w:val="ARTartustawynprozporzdzenia"/>
        <w:numPr>
          <w:ilvl w:val="0"/>
          <w:numId w:val="9"/>
        </w:numPr>
        <w:spacing w:after="120"/>
        <w:ind w:left="851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</w:t>
      </w:r>
      <w:r w:rsidR="00E631DB" w:rsidRPr="00E631DB">
        <w:rPr>
          <w:rFonts w:ascii="Times New Roman" w:hAnsi="Times New Roman" w:cs="Times New Roman"/>
          <w:szCs w:val="24"/>
        </w:rPr>
        <w:t>zmocnienie bezpieczeństwa łańcucha dostaw na poziomie krajowym i</w:t>
      </w:r>
      <w:r w:rsidR="008B2D4D">
        <w:rPr>
          <w:rFonts w:ascii="Times New Roman" w:hAnsi="Times New Roman" w:cs="Times New Roman"/>
          <w:szCs w:val="24"/>
        </w:rPr>
        <w:t> </w:t>
      </w:r>
      <w:r w:rsidR="00E631DB" w:rsidRPr="00E631DB">
        <w:rPr>
          <w:rFonts w:ascii="Times New Roman" w:hAnsi="Times New Roman" w:cs="Times New Roman"/>
          <w:szCs w:val="24"/>
        </w:rPr>
        <w:t>międzynarodowym</w:t>
      </w:r>
      <w:r w:rsidR="00D76BDA">
        <w:rPr>
          <w:rFonts w:ascii="Times New Roman" w:hAnsi="Times New Roman" w:cs="Times New Roman"/>
          <w:szCs w:val="24"/>
        </w:rPr>
        <w:t>;</w:t>
      </w:r>
    </w:p>
    <w:p w14:paraId="1443804D" w14:textId="42FCC185" w:rsidR="00D76BDA" w:rsidRPr="00D76BDA" w:rsidRDefault="004F6EB0" w:rsidP="00046252">
      <w:pPr>
        <w:pStyle w:val="ARTartustawynprozporzdzenia"/>
        <w:numPr>
          <w:ilvl w:val="0"/>
          <w:numId w:val="9"/>
        </w:numPr>
        <w:spacing w:after="120"/>
        <w:ind w:left="851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</w:t>
      </w:r>
      <w:r w:rsidR="00E631DB" w:rsidRPr="00E631DB">
        <w:rPr>
          <w:rFonts w:ascii="Times New Roman" w:hAnsi="Times New Roman" w:cs="Times New Roman"/>
          <w:szCs w:val="24"/>
        </w:rPr>
        <w:t>tymulowanie badań, rozwoju i innowacji w obszarze cyberbezpieczeństwa</w:t>
      </w:r>
      <w:r w:rsidR="00D76BDA">
        <w:rPr>
          <w:rFonts w:ascii="Times New Roman" w:hAnsi="Times New Roman" w:cs="Times New Roman"/>
          <w:szCs w:val="24"/>
        </w:rPr>
        <w:t>.</w:t>
      </w:r>
    </w:p>
    <w:p w14:paraId="79278711" w14:textId="6CA7465F" w:rsidR="00D76BDA" w:rsidRPr="00D76BDA" w:rsidRDefault="00D76BDA" w:rsidP="00D76BDA">
      <w:pPr>
        <w:pStyle w:val="ARTartustawynprozporzdzenia"/>
        <w:spacing w:after="120"/>
        <w:rPr>
          <w:rFonts w:ascii="Times New Roman" w:hAnsi="Times New Roman" w:cs="Times New Roman"/>
          <w:szCs w:val="24"/>
        </w:rPr>
      </w:pPr>
      <w:r w:rsidRPr="00D76BDA">
        <w:rPr>
          <w:rFonts w:ascii="Times New Roman" w:hAnsi="Times New Roman" w:cs="Times New Roman"/>
          <w:szCs w:val="24"/>
        </w:rPr>
        <w:t>W zakresie realizacji celu szczegółowego „Budowanie świadomości, wiedzy i</w:t>
      </w:r>
      <w:r w:rsidR="00525AC5">
        <w:rPr>
          <w:rFonts w:ascii="Times New Roman" w:hAnsi="Times New Roman" w:cs="Times New Roman"/>
          <w:szCs w:val="24"/>
        </w:rPr>
        <w:t> </w:t>
      </w:r>
      <w:r w:rsidRPr="00D76BDA">
        <w:rPr>
          <w:rFonts w:ascii="Times New Roman" w:hAnsi="Times New Roman" w:cs="Times New Roman"/>
          <w:szCs w:val="24"/>
        </w:rPr>
        <w:t>kompetencji kadr podmiotów krajowego systemu cyberbezpieczeństwa oraz obywateli i</w:t>
      </w:r>
      <w:r w:rsidR="00525AC5">
        <w:rPr>
          <w:rFonts w:ascii="Times New Roman" w:hAnsi="Times New Roman" w:cs="Times New Roman"/>
          <w:szCs w:val="24"/>
        </w:rPr>
        <w:t> </w:t>
      </w:r>
      <w:r w:rsidRPr="00D76BDA">
        <w:rPr>
          <w:rFonts w:ascii="Times New Roman" w:hAnsi="Times New Roman" w:cs="Times New Roman"/>
          <w:szCs w:val="24"/>
        </w:rPr>
        <w:t>przedsiębiorców” przewidziano następujące kierunki interwencji:</w:t>
      </w:r>
    </w:p>
    <w:p w14:paraId="73C8E3CB" w14:textId="2819ED33" w:rsidR="00D76BDA" w:rsidRPr="00D76BDA" w:rsidRDefault="009D4608" w:rsidP="00046252">
      <w:pPr>
        <w:pStyle w:val="ARTartustawynprozporzdzenia"/>
        <w:numPr>
          <w:ilvl w:val="0"/>
          <w:numId w:val="7"/>
        </w:numPr>
        <w:spacing w:after="120"/>
        <w:ind w:left="851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</w:t>
      </w:r>
      <w:r w:rsidR="00D76BDA" w:rsidRPr="00D76BDA">
        <w:rPr>
          <w:rFonts w:ascii="Times New Roman" w:hAnsi="Times New Roman" w:cs="Times New Roman"/>
          <w:szCs w:val="24"/>
        </w:rPr>
        <w:t>większenie świadomości i wiedzy oraz wzmocnienie kompetencji kadr podmiotów krajowego systemu cyberbezpieczeństwa</w:t>
      </w:r>
      <w:r w:rsidR="00D76BDA">
        <w:rPr>
          <w:rFonts w:ascii="Times New Roman" w:hAnsi="Times New Roman" w:cs="Times New Roman"/>
          <w:szCs w:val="24"/>
        </w:rPr>
        <w:t>;</w:t>
      </w:r>
    </w:p>
    <w:p w14:paraId="6150D475" w14:textId="763C7ACB" w:rsidR="00D76BDA" w:rsidRPr="00D76BDA" w:rsidRDefault="009D4608" w:rsidP="00046252">
      <w:pPr>
        <w:pStyle w:val="ARTartustawynprozporzdzenia"/>
        <w:numPr>
          <w:ilvl w:val="0"/>
          <w:numId w:val="7"/>
        </w:numPr>
        <w:spacing w:after="120"/>
        <w:ind w:left="851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</w:t>
      </w:r>
      <w:r w:rsidR="00D76BDA" w:rsidRPr="00D76BDA">
        <w:rPr>
          <w:rFonts w:ascii="Times New Roman" w:hAnsi="Times New Roman" w:cs="Times New Roman"/>
          <w:szCs w:val="24"/>
        </w:rPr>
        <w:t>ozwój świadomości i wiedzy obywateli i przedsiębiorców z zakresu cyberbezpieczeństwa</w:t>
      </w:r>
      <w:r w:rsidR="00D76BDA">
        <w:rPr>
          <w:rFonts w:ascii="Times New Roman" w:hAnsi="Times New Roman" w:cs="Times New Roman"/>
          <w:szCs w:val="24"/>
        </w:rPr>
        <w:t>.</w:t>
      </w:r>
    </w:p>
    <w:p w14:paraId="4D9A97D0" w14:textId="75424159" w:rsidR="00D76BDA" w:rsidRPr="00D76BDA" w:rsidRDefault="00D76BDA" w:rsidP="00D76BDA">
      <w:pPr>
        <w:pStyle w:val="ARTartustawynprozporzdzenia"/>
        <w:spacing w:after="120"/>
        <w:rPr>
          <w:rFonts w:ascii="Times New Roman" w:hAnsi="Times New Roman" w:cs="Times New Roman"/>
          <w:szCs w:val="24"/>
        </w:rPr>
      </w:pPr>
      <w:r w:rsidRPr="00D76BDA">
        <w:rPr>
          <w:rFonts w:ascii="Times New Roman" w:hAnsi="Times New Roman" w:cs="Times New Roman"/>
          <w:szCs w:val="24"/>
        </w:rPr>
        <w:t>W zakresie realizacji celu szczegółowego „Wzmocnienie silnej pozycji międzynarodowej Rzeczypospolitej Polskiej w obszarze cyberbezpieczeństwa” przewidziano następujące kierunki interwencji:</w:t>
      </w:r>
    </w:p>
    <w:p w14:paraId="7EFA4E68" w14:textId="7C1C5688" w:rsidR="00D76BDA" w:rsidRPr="00D76BDA" w:rsidRDefault="009D4608" w:rsidP="00046252">
      <w:pPr>
        <w:pStyle w:val="ARTartustawynprozporzdzenia"/>
        <w:numPr>
          <w:ilvl w:val="0"/>
          <w:numId w:val="5"/>
        </w:numPr>
        <w:spacing w:after="120"/>
        <w:ind w:left="993" w:hanging="42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</w:t>
      </w:r>
      <w:r w:rsidR="00D76BDA" w:rsidRPr="00D76BDA">
        <w:rPr>
          <w:rFonts w:ascii="Times New Roman" w:hAnsi="Times New Roman" w:cs="Times New Roman"/>
          <w:szCs w:val="24"/>
        </w:rPr>
        <w:t>ktywna współpraca międzynarodowa na poziomie strategiczno-politycznym</w:t>
      </w:r>
      <w:r w:rsidR="006E38C5">
        <w:rPr>
          <w:rFonts w:ascii="Times New Roman" w:hAnsi="Times New Roman" w:cs="Times New Roman"/>
          <w:szCs w:val="24"/>
        </w:rPr>
        <w:t xml:space="preserve"> i</w:t>
      </w:r>
      <w:r w:rsidR="005400C9">
        <w:rPr>
          <w:rFonts w:ascii="Times New Roman" w:hAnsi="Times New Roman" w:cs="Times New Roman"/>
          <w:szCs w:val="24"/>
        </w:rPr>
        <w:t> </w:t>
      </w:r>
      <w:r w:rsidR="006E38C5">
        <w:rPr>
          <w:rFonts w:ascii="Times New Roman" w:hAnsi="Times New Roman" w:cs="Times New Roman"/>
          <w:szCs w:val="24"/>
        </w:rPr>
        <w:t>prawnym</w:t>
      </w:r>
      <w:r w:rsidR="00D76BDA">
        <w:rPr>
          <w:rFonts w:ascii="Times New Roman" w:hAnsi="Times New Roman" w:cs="Times New Roman"/>
          <w:szCs w:val="24"/>
        </w:rPr>
        <w:t>;</w:t>
      </w:r>
    </w:p>
    <w:p w14:paraId="639EDBCC" w14:textId="3C2504E4" w:rsidR="00D76BDA" w:rsidRPr="00D76BDA" w:rsidRDefault="009D4608" w:rsidP="00046252">
      <w:pPr>
        <w:pStyle w:val="ARTartustawynprozporzdzenia"/>
        <w:numPr>
          <w:ilvl w:val="0"/>
          <w:numId w:val="5"/>
        </w:numPr>
        <w:spacing w:after="120"/>
        <w:ind w:left="993" w:hanging="42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a</w:t>
      </w:r>
      <w:r w:rsidR="00D76BDA" w:rsidRPr="00D76BDA">
        <w:rPr>
          <w:rFonts w:ascii="Times New Roman" w:hAnsi="Times New Roman" w:cs="Times New Roman"/>
          <w:szCs w:val="24"/>
        </w:rPr>
        <w:t>ktywna współpraca międzynarodowa na poziomie operacyjnym i technicznym</w:t>
      </w:r>
      <w:r w:rsidR="00D76BDA">
        <w:rPr>
          <w:rFonts w:ascii="Times New Roman" w:hAnsi="Times New Roman" w:cs="Times New Roman"/>
          <w:szCs w:val="24"/>
        </w:rPr>
        <w:t>;</w:t>
      </w:r>
    </w:p>
    <w:p w14:paraId="39174ABA" w14:textId="49319B27" w:rsidR="00D76BDA" w:rsidRPr="00D76BDA" w:rsidRDefault="009D4608" w:rsidP="00046252">
      <w:pPr>
        <w:pStyle w:val="ARTartustawynprozporzdzenia"/>
        <w:numPr>
          <w:ilvl w:val="0"/>
          <w:numId w:val="5"/>
        </w:numPr>
        <w:spacing w:after="120"/>
        <w:ind w:left="993" w:hanging="42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</w:t>
      </w:r>
      <w:r w:rsidR="00D76BDA" w:rsidRPr="00D76BDA">
        <w:rPr>
          <w:rFonts w:ascii="Times New Roman" w:hAnsi="Times New Roman" w:cs="Times New Roman"/>
          <w:szCs w:val="24"/>
        </w:rPr>
        <w:t>oordynacja działań na arenie międzynarodowej w zakresie współpracy cywilno-wojskowej w obszarze cyberbezpieczeństwa</w:t>
      </w:r>
      <w:r w:rsidR="00D76BDA">
        <w:rPr>
          <w:rFonts w:ascii="Times New Roman" w:hAnsi="Times New Roman" w:cs="Times New Roman"/>
          <w:szCs w:val="24"/>
        </w:rPr>
        <w:t>.</w:t>
      </w:r>
    </w:p>
    <w:p w14:paraId="2A54888A" w14:textId="1A838E45" w:rsidR="00C52350" w:rsidRPr="00D76BDA" w:rsidRDefault="005548DB" w:rsidP="00D76BDA">
      <w:pPr>
        <w:pStyle w:val="ARTartustawynprozporzdzenia"/>
        <w:spacing w:after="120"/>
        <w:rPr>
          <w:rFonts w:ascii="Times New Roman" w:hAnsi="Times New Roman" w:cs="Times New Roman"/>
          <w:szCs w:val="24"/>
        </w:rPr>
      </w:pPr>
      <w:r w:rsidRPr="00D76BDA">
        <w:rPr>
          <w:rFonts w:ascii="Times New Roman" w:hAnsi="Times New Roman" w:cs="Times New Roman"/>
          <w:szCs w:val="24"/>
        </w:rPr>
        <w:t>Projektowana u</w:t>
      </w:r>
      <w:r w:rsidR="00C52350" w:rsidRPr="00D76BDA">
        <w:rPr>
          <w:rFonts w:ascii="Times New Roman" w:hAnsi="Times New Roman" w:cs="Times New Roman"/>
          <w:szCs w:val="24"/>
        </w:rPr>
        <w:t>chwała w</w:t>
      </w:r>
      <w:r w:rsidRPr="00D76BDA">
        <w:rPr>
          <w:rFonts w:ascii="Times New Roman" w:hAnsi="Times New Roman" w:cs="Times New Roman"/>
          <w:szCs w:val="24"/>
        </w:rPr>
        <w:t>ejdzie</w:t>
      </w:r>
      <w:r w:rsidR="00C52350" w:rsidRPr="00D76BDA">
        <w:rPr>
          <w:rFonts w:ascii="Times New Roman" w:hAnsi="Times New Roman" w:cs="Times New Roman"/>
          <w:szCs w:val="24"/>
        </w:rPr>
        <w:t xml:space="preserve"> w życie z dniem </w:t>
      </w:r>
      <w:r w:rsidR="00DB3847" w:rsidRPr="00D76BDA">
        <w:rPr>
          <w:rFonts w:ascii="Times New Roman" w:hAnsi="Times New Roman" w:cs="Times New Roman"/>
          <w:szCs w:val="24"/>
        </w:rPr>
        <w:t>następującym po dniu ogłoszenia.</w:t>
      </w:r>
      <w:r w:rsidR="00B208D8" w:rsidRPr="00D76BDA">
        <w:rPr>
          <w:rFonts w:ascii="Times New Roman" w:hAnsi="Times New Roman" w:cs="Times New Roman"/>
          <w:szCs w:val="24"/>
        </w:rPr>
        <w:t xml:space="preserve"> Przyjęty termin wejścia w życie wynika </w:t>
      </w:r>
      <w:r w:rsidR="001B3789" w:rsidRPr="00D76BDA">
        <w:rPr>
          <w:rFonts w:ascii="Times New Roman" w:hAnsi="Times New Roman" w:cs="Times New Roman"/>
          <w:szCs w:val="24"/>
        </w:rPr>
        <w:t xml:space="preserve">z potrzeby niezwłocznego wprowadzenia do systemu prawnego nowej Strategii, w związku </w:t>
      </w:r>
      <w:r w:rsidR="00741F11">
        <w:rPr>
          <w:rFonts w:ascii="Times New Roman" w:hAnsi="Times New Roman" w:cs="Times New Roman"/>
          <w:szCs w:val="24"/>
        </w:rPr>
        <w:t xml:space="preserve">z </w:t>
      </w:r>
      <w:r w:rsidR="001B3789" w:rsidRPr="00D76BDA">
        <w:rPr>
          <w:rFonts w:ascii="Times New Roman" w:hAnsi="Times New Roman" w:cs="Times New Roman"/>
          <w:szCs w:val="24"/>
        </w:rPr>
        <w:t xml:space="preserve">upływem okresu obowiązywania Strategii Cyberbezpieczeństwa Rzeczypospolitej Polskiej na lata 2019–2024. </w:t>
      </w:r>
    </w:p>
    <w:p w14:paraId="6082A249" w14:textId="68761F7A" w:rsidR="009F77B7" w:rsidRPr="00D76BDA" w:rsidRDefault="009F77B7" w:rsidP="00D76BDA">
      <w:pPr>
        <w:pStyle w:val="ARTartustawynprozporzdzenia"/>
        <w:spacing w:after="120"/>
        <w:rPr>
          <w:rFonts w:ascii="Times New Roman" w:hAnsi="Times New Roman" w:cs="Times New Roman"/>
          <w:szCs w:val="24"/>
        </w:rPr>
      </w:pPr>
      <w:r w:rsidRPr="00D76BDA">
        <w:rPr>
          <w:rFonts w:ascii="Times New Roman" w:hAnsi="Times New Roman" w:cs="Times New Roman"/>
          <w:szCs w:val="24"/>
        </w:rPr>
        <w:t>Projekt nie jest sprzeczny z prawem Unii Europejskiej.</w:t>
      </w:r>
    </w:p>
    <w:p w14:paraId="0E98A868" w14:textId="7048C5BD" w:rsidR="009F77B7" w:rsidRPr="00D76BDA" w:rsidRDefault="009F77B7" w:rsidP="00D76BDA">
      <w:pPr>
        <w:pStyle w:val="ARTartustawynprozporzdzenia"/>
        <w:spacing w:after="120"/>
        <w:rPr>
          <w:rFonts w:ascii="Times New Roman" w:hAnsi="Times New Roman" w:cs="Times New Roman"/>
          <w:szCs w:val="24"/>
        </w:rPr>
      </w:pPr>
      <w:r w:rsidRPr="00D76BDA">
        <w:rPr>
          <w:rFonts w:ascii="Times New Roman" w:hAnsi="Times New Roman" w:cs="Times New Roman"/>
          <w:szCs w:val="24"/>
        </w:rPr>
        <w:t>Projektowana regulacja nie zawiera przepisów technicznych w rozumieniu rozporządzenia Rady Ministrów z dnia 23 grudnia 2002 r. w sprawie sposobu funkcjonowania krajowego systemu notyfikacji norm i aktów prawnych (Dz. U. poz. 2039 oraz z 2004 r. poz.</w:t>
      </w:r>
      <w:r w:rsidR="008B2D4D">
        <w:rPr>
          <w:rFonts w:ascii="Times New Roman" w:hAnsi="Times New Roman" w:cs="Times New Roman"/>
          <w:szCs w:val="24"/>
        </w:rPr>
        <w:t> </w:t>
      </w:r>
      <w:r w:rsidRPr="00D76BDA">
        <w:rPr>
          <w:rFonts w:ascii="Times New Roman" w:hAnsi="Times New Roman" w:cs="Times New Roman"/>
          <w:szCs w:val="24"/>
        </w:rPr>
        <w:t>597) i nie podlega notyfikacji Komisji Europejskiej.</w:t>
      </w:r>
    </w:p>
    <w:p w14:paraId="1181681D" w14:textId="6F317F96" w:rsidR="009F77B7" w:rsidRPr="00D76BDA" w:rsidRDefault="009F77B7" w:rsidP="00D76BDA">
      <w:pPr>
        <w:pStyle w:val="ARTartustawynprozporzdzenia"/>
        <w:spacing w:after="120"/>
        <w:rPr>
          <w:rFonts w:ascii="Times New Roman" w:hAnsi="Times New Roman" w:cs="Times New Roman"/>
        </w:rPr>
      </w:pPr>
      <w:r w:rsidRPr="00D76BDA">
        <w:rPr>
          <w:rFonts w:ascii="Times New Roman" w:hAnsi="Times New Roman" w:cs="Times New Roman"/>
          <w:szCs w:val="24"/>
        </w:rPr>
        <w:t>Projektowana regulacja nie będzie wymagała notyfikacji Komisji Europejskiej w trybie ustawy z dnia 30 kwietnia 2004 r. o postępowaniu w sprawach dotyczących pomocy publicznej (</w:t>
      </w:r>
      <w:r w:rsidR="00D55F43" w:rsidRPr="00D76BDA">
        <w:rPr>
          <w:rFonts w:ascii="Times New Roman" w:hAnsi="Times New Roman" w:cs="Times New Roman"/>
          <w:szCs w:val="24"/>
        </w:rPr>
        <w:t>Dz.</w:t>
      </w:r>
      <w:r w:rsidR="00C52350" w:rsidRPr="00D76BDA">
        <w:rPr>
          <w:rFonts w:ascii="Times New Roman" w:hAnsi="Times New Roman" w:cs="Times New Roman"/>
          <w:szCs w:val="24"/>
        </w:rPr>
        <w:t xml:space="preserve"> </w:t>
      </w:r>
      <w:r w:rsidR="00D55F43" w:rsidRPr="00D76BDA">
        <w:rPr>
          <w:rFonts w:ascii="Times New Roman" w:hAnsi="Times New Roman" w:cs="Times New Roman"/>
          <w:szCs w:val="24"/>
        </w:rPr>
        <w:t>U. z 202</w:t>
      </w:r>
      <w:r w:rsidR="007817C1">
        <w:rPr>
          <w:rFonts w:ascii="Times New Roman" w:hAnsi="Times New Roman" w:cs="Times New Roman"/>
          <w:szCs w:val="24"/>
        </w:rPr>
        <w:t>5</w:t>
      </w:r>
      <w:r w:rsidR="00D55F43" w:rsidRPr="00D76BDA">
        <w:rPr>
          <w:rFonts w:ascii="Times New Roman" w:hAnsi="Times New Roman" w:cs="Times New Roman"/>
          <w:szCs w:val="24"/>
        </w:rPr>
        <w:t xml:space="preserve"> r. poz. </w:t>
      </w:r>
      <w:r w:rsidR="007817C1">
        <w:rPr>
          <w:rFonts w:ascii="Times New Roman" w:hAnsi="Times New Roman" w:cs="Times New Roman"/>
          <w:szCs w:val="24"/>
        </w:rPr>
        <w:t>468)</w:t>
      </w:r>
      <w:r w:rsidRPr="00D76BDA">
        <w:rPr>
          <w:rFonts w:ascii="Times New Roman" w:hAnsi="Times New Roman" w:cs="Times New Roman"/>
        </w:rPr>
        <w:t>.</w:t>
      </w:r>
    </w:p>
    <w:p w14:paraId="2C83DB35" w14:textId="77777777" w:rsidR="009F77B7" w:rsidRPr="00D76BDA" w:rsidRDefault="009F77B7" w:rsidP="00D76BDA">
      <w:pPr>
        <w:pStyle w:val="ARTartustawynprozporzdzenia"/>
        <w:spacing w:after="120"/>
        <w:rPr>
          <w:rFonts w:ascii="Times New Roman" w:hAnsi="Times New Roman" w:cs="Times New Roman"/>
        </w:rPr>
      </w:pPr>
      <w:r w:rsidRPr="00D76BDA">
        <w:rPr>
          <w:rFonts w:ascii="Times New Roman" w:hAnsi="Times New Roman" w:cs="Times New Roman"/>
        </w:rPr>
        <w:t>Projekt nie wymaga przedłożenia instytucjom i organom Unii Europejskiej, w tym Europejskiemu Bankowi Centralnemu, w celu uzyskania opinii, dokonania powiadomienia, konsultacji albo uzgodnienia.</w:t>
      </w:r>
    </w:p>
    <w:p w14:paraId="597D3C58" w14:textId="542D83D0" w:rsidR="009F77B7" w:rsidRPr="00D76BDA" w:rsidRDefault="009F77B7" w:rsidP="00D76BDA">
      <w:pPr>
        <w:pStyle w:val="ARTartustawynprozporzdzenia"/>
        <w:spacing w:after="120"/>
        <w:rPr>
          <w:rFonts w:ascii="Times New Roman" w:hAnsi="Times New Roman" w:cs="Times New Roman"/>
        </w:rPr>
      </w:pPr>
      <w:r w:rsidRPr="00D76BDA">
        <w:rPr>
          <w:rFonts w:ascii="Times New Roman" w:hAnsi="Times New Roman" w:cs="Times New Roman"/>
        </w:rPr>
        <w:t>Projekt uchwały nie będzie miał wpływu na działalność mikroprzedsiębiorców, małych i</w:t>
      </w:r>
      <w:r w:rsidR="009D4608">
        <w:rPr>
          <w:rFonts w:ascii="Times New Roman" w:hAnsi="Times New Roman" w:cs="Times New Roman"/>
        </w:rPr>
        <w:t> </w:t>
      </w:r>
      <w:r w:rsidRPr="00D76BDA">
        <w:rPr>
          <w:rFonts w:ascii="Times New Roman" w:hAnsi="Times New Roman" w:cs="Times New Roman"/>
        </w:rPr>
        <w:t xml:space="preserve">średnich przedsiębiorców. </w:t>
      </w:r>
    </w:p>
    <w:p w14:paraId="3480EFBC" w14:textId="32A520D0" w:rsidR="009F77B7" w:rsidRPr="00D76BDA" w:rsidRDefault="009F77B7" w:rsidP="00D76BDA">
      <w:pPr>
        <w:pStyle w:val="NIEARTTEKSTtekstnieartykuowanynppodstprawnarozplubpreambua"/>
        <w:spacing w:after="120"/>
        <w:rPr>
          <w:rFonts w:ascii="Times New Roman" w:hAnsi="Times New Roman" w:cs="Times New Roman"/>
        </w:rPr>
      </w:pPr>
      <w:r w:rsidRPr="00D76BDA">
        <w:rPr>
          <w:rFonts w:ascii="Times New Roman" w:hAnsi="Times New Roman" w:cs="Times New Roman"/>
        </w:rPr>
        <w:t>Projekt zostanie udostępniony w Biuletynie Informacji Publicznej na stronie podmiotowej</w:t>
      </w:r>
      <w:r w:rsidR="00D3326A">
        <w:rPr>
          <w:rFonts w:ascii="Times New Roman" w:hAnsi="Times New Roman" w:cs="Times New Roman"/>
        </w:rPr>
        <w:t xml:space="preserve"> ministra właściwego do spraw informatyzacji</w:t>
      </w:r>
      <w:r w:rsidRPr="00D76BDA">
        <w:rPr>
          <w:rFonts w:ascii="Times New Roman" w:hAnsi="Times New Roman" w:cs="Times New Roman"/>
        </w:rPr>
        <w:t>.</w:t>
      </w:r>
    </w:p>
    <w:p w14:paraId="65447DA1" w14:textId="533CB6A7" w:rsidR="00584EFC" w:rsidRPr="00D76BDA" w:rsidRDefault="00584EFC" w:rsidP="00D76BDA">
      <w:pPr>
        <w:pStyle w:val="ARTartustawynprozporzdzenia"/>
        <w:spacing w:after="120"/>
        <w:rPr>
          <w:rFonts w:ascii="Times New Roman" w:hAnsi="Times New Roman" w:cs="Times New Roman"/>
        </w:rPr>
      </w:pPr>
    </w:p>
    <w:sectPr w:rsidR="00584EFC" w:rsidRPr="00D76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D7205" w14:textId="77777777" w:rsidR="00F31F18" w:rsidRDefault="00F31F18" w:rsidP="008D110A">
      <w:pPr>
        <w:spacing w:after="0" w:line="240" w:lineRule="auto"/>
      </w:pPr>
      <w:r>
        <w:separator/>
      </w:r>
    </w:p>
  </w:endnote>
  <w:endnote w:type="continuationSeparator" w:id="0">
    <w:p w14:paraId="1017D038" w14:textId="77777777" w:rsidR="00F31F18" w:rsidRDefault="00F31F18" w:rsidP="008D1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89386" w14:textId="77777777" w:rsidR="00F31F18" w:rsidRDefault="00F31F18" w:rsidP="008D110A">
      <w:pPr>
        <w:spacing w:after="0" w:line="240" w:lineRule="auto"/>
      </w:pPr>
      <w:r>
        <w:separator/>
      </w:r>
    </w:p>
  </w:footnote>
  <w:footnote w:type="continuationSeparator" w:id="0">
    <w:p w14:paraId="5052C965" w14:textId="77777777" w:rsidR="00F31F18" w:rsidRDefault="00F31F18" w:rsidP="008D1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3661"/>
    <w:multiLevelType w:val="hybridMultilevel"/>
    <w:tmpl w:val="CF547EC4"/>
    <w:lvl w:ilvl="0" w:tplc="52805524">
      <w:start w:val="1"/>
      <w:numFmt w:val="decimal"/>
      <w:lvlText w:val="%1)"/>
      <w:lvlJc w:val="left"/>
      <w:pPr>
        <w:ind w:left="1410" w:hanging="9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05FD668C"/>
    <w:multiLevelType w:val="hybridMultilevel"/>
    <w:tmpl w:val="9154BD5C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 w15:restartNumberingAfterBreak="0">
    <w:nsid w:val="09DD0C39"/>
    <w:multiLevelType w:val="hybridMultilevel"/>
    <w:tmpl w:val="2968D518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0D6B6BA6"/>
    <w:multiLevelType w:val="hybridMultilevel"/>
    <w:tmpl w:val="EAF69DB2"/>
    <w:lvl w:ilvl="0" w:tplc="C1B4BA12">
      <w:start w:val="1"/>
      <w:numFmt w:val="decimal"/>
      <w:lvlText w:val="%1)"/>
      <w:lvlJc w:val="left"/>
      <w:pPr>
        <w:ind w:left="1410" w:hanging="9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13986603"/>
    <w:multiLevelType w:val="hybridMultilevel"/>
    <w:tmpl w:val="2C6C9EFC"/>
    <w:lvl w:ilvl="0" w:tplc="595C76BA">
      <w:start w:val="1"/>
      <w:numFmt w:val="decimal"/>
      <w:lvlText w:val="%1)"/>
      <w:lvlJc w:val="left"/>
      <w:pPr>
        <w:ind w:left="1410" w:hanging="9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17890ED7"/>
    <w:multiLevelType w:val="hybridMultilevel"/>
    <w:tmpl w:val="9BB28AA4"/>
    <w:lvl w:ilvl="0" w:tplc="0415000B">
      <w:start w:val="1"/>
      <w:numFmt w:val="bullet"/>
      <w:lvlText w:val=""/>
      <w:lvlJc w:val="left"/>
      <w:pPr>
        <w:ind w:left="-28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6" w15:restartNumberingAfterBreak="0">
    <w:nsid w:val="205222FA"/>
    <w:multiLevelType w:val="hybridMultilevel"/>
    <w:tmpl w:val="67A231A6"/>
    <w:lvl w:ilvl="0" w:tplc="35D82D84">
      <w:start w:val="1"/>
      <w:numFmt w:val="decimal"/>
      <w:lvlText w:val="%1)"/>
      <w:lvlJc w:val="left"/>
      <w:pPr>
        <w:ind w:left="1410" w:hanging="9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32906E38"/>
    <w:multiLevelType w:val="hybridMultilevel"/>
    <w:tmpl w:val="7C44DF82"/>
    <w:lvl w:ilvl="0" w:tplc="7764AC16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426133B2"/>
    <w:multiLevelType w:val="hybridMultilevel"/>
    <w:tmpl w:val="C4E63A28"/>
    <w:lvl w:ilvl="0" w:tplc="2A324642">
      <w:start w:val="1"/>
      <w:numFmt w:val="decimal"/>
      <w:lvlText w:val="%1)"/>
      <w:lvlJc w:val="left"/>
      <w:pPr>
        <w:ind w:left="1410" w:hanging="9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463511B4"/>
    <w:multiLevelType w:val="hybridMultilevel"/>
    <w:tmpl w:val="D9089B0E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0" w15:restartNumberingAfterBreak="0">
    <w:nsid w:val="606267FF"/>
    <w:multiLevelType w:val="hybridMultilevel"/>
    <w:tmpl w:val="C1F6B2D8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1" w15:restartNumberingAfterBreak="0">
    <w:nsid w:val="66A92423"/>
    <w:multiLevelType w:val="hybridMultilevel"/>
    <w:tmpl w:val="2DBAC8D6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2" w15:restartNumberingAfterBreak="0">
    <w:nsid w:val="6B980717"/>
    <w:multiLevelType w:val="hybridMultilevel"/>
    <w:tmpl w:val="35649F24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3" w15:restartNumberingAfterBreak="0">
    <w:nsid w:val="6C647A3C"/>
    <w:multiLevelType w:val="hybridMultilevel"/>
    <w:tmpl w:val="41AE0C34"/>
    <w:lvl w:ilvl="0" w:tplc="3342BB5C">
      <w:start w:val="1"/>
      <w:numFmt w:val="decimal"/>
      <w:lvlText w:val="%1)"/>
      <w:lvlJc w:val="left"/>
      <w:pPr>
        <w:ind w:left="1410" w:hanging="9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70A821E0"/>
    <w:multiLevelType w:val="hybridMultilevel"/>
    <w:tmpl w:val="1A98B18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CB87F68"/>
    <w:multiLevelType w:val="hybridMultilevel"/>
    <w:tmpl w:val="FEFA6814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445543857">
    <w:abstractNumId w:val="12"/>
  </w:num>
  <w:num w:numId="2" w16cid:durableId="1949972004">
    <w:abstractNumId w:val="7"/>
  </w:num>
  <w:num w:numId="3" w16cid:durableId="1879003965">
    <w:abstractNumId w:val="5"/>
  </w:num>
  <w:num w:numId="4" w16cid:durableId="1110660204">
    <w:abstractNumId w:val="14"/>
  </w:num>
  <w:num w:numId="5" w16cid:durableId="377903087">
    <w:abstractNumId w:val="9"/>
  </w:num>
  <w:num w:numId="6" w16cid:durableId="1236554844">
    <w:abstractNumId w:val="8"/>
  </w:num>
  <w:num w:numId="7" w16cid:durableId="253824403">
    <w:abstractNumId w:val="11"/>
  </w:num>
  <w:num w:numId="8" w16cid:durableId="1760757011">
    <w:abstractNumId w:val="3"/>
  </w:num>
  <w:num w:numId="9" w16cid:durableId="1194491098">
    <w:abstractNumId w:val="1"/>
  </w:num>
  <w:num w:numId="10" w16cid:durableId="613362057">
    <w:abstractNumId w:val="13"/>
  </w:num>
  <w:num w:numId="11" w16cid:durableId="1984234195">
    <w:abstractNumId w:val="15"/>
  </w:num>
  <w:num w:numId="12" w16cid:durableId="1143888459">
    <w:abstractNumId w:val="0"/>
  </w:num>
  <w:num w:numId="13" w16cid:durableId="650867858">
    <w:abstractNumId w:val="10"/>
  </w:num>
  <w:num w:numId="14" w16cid:durableId="302854287">
    <w:abstractNumId w:val="6"/>
  </w:num>
  <w:num w:numId="15" w16cid:durableId="2091271699">
    <w:abstractNumId w:val="2"/>
  </w:num>
  <w:num w:numId="16" w16cid:durableId="1471097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C3"/>
    <w:rsid w:val="00015AD9"/>
    <w:rsid w:val="00046252"/>
    <w:rsid w:val="000629DE"/>
    <w:rsid w:val="00065160"/>
    <w:rsid w:val="000D3360"/>
    <w:rsid w:val="000E42A5"/>
    <w:rsid w:val="000F00B8"/>
    <w:rsid w:val="00141C6A"/>
    <w:rsid w:val="00162BAF"/>
    <w:rsid w:val="001B3789"/>
    <w:rsid w:val="001B7D69"/>
    <w:rsid w:val="00204DBA"/>
    <w:rsid w:val="002142F2"/>
    <w:rsid w:val="002A0771"/>
    <w:rsid w:val="003149A6"/>
    <w:rsid w:val="00343246"/>
    <w:rsid w:val="003613E3"/>
    <w:rsid w:val="003B4761"/>
    <w:rsid w:val="003D432E"/>
    <w:rsid w:val="003E3918"/>
    <w:rsid w:val="00427AFB"/>
    <w:rsid w:val="004D225F"/>
    <w:rsid w:val="004F6EB0"/>
    <w:rsid w:val="00525AC5"/>
    <w:rsid w:val="00531FE3"/>
    <w:rsid w:val="005400C9"/>
    <w:rsid w:val="0054234F"/>
    <w:rsid w:val="005548DB"/>
    <w:rsid w:val="00570D33"/>
    <w:rsid w:val="00584EFC"/>
    <w:rsid w:val="005C37C1"/>
    <w:rsid w:val="005E10C4"/>
    <w:rsid w:val="005E1E0B"/>
    <w:rsid w:val="005E40F6"/>
    <w:rsid w:val="00662EA4"/>
    <w:rsid w:val="00672B7E"/>
    <w:rsid w:val="006E38C5"/>
    <w:rsid w:val="00712341"/>
    <w:rsid w:val="00734B86"/>
    <w:rsid w:val="00741F11"/>
    <w:rsid w:val="0075236B"/>
    <w:rsid w:val="007817C1"/>
    <w:rsid w:val="00794141"/>
    <w:rsid w:val="007E2E59"/>
    <w:rsid w:val="008073DE"/>
    <w:rsid w:val="008B2D4D"/>
    <w:rsid w:val="008D110A"/>
    <w:rsid w:val="00944BC3"/>
    <w:rsid w:val="009A1BE6"/>
    <w:rsid w:val="009D4608"/>
    <w:rsid w:val="009F3354"/>
    <w:rsid w:val="009F77B7"/>
    <w:rsid w:val="00A30B0B"/>
    <w:rsid w:val="00AF0C89"/>
    <w:rsid w:val="00B208D8"/>
    <w:rsid w:val="00B21FB9"/>
    <w:rsid w:val="00B70734"/>
    <w:rsid w:val="00BE206E"/>
    <w:rsid w:val="00C5003F"/>
    <w:rsid w:val="00C52350"/>
    <w:rsid w:val="00CC69CB"/>
    <w:rsid w:val="00CF14C9"/>
    <w:rsid w:val="00D3326A"/>
    <w:rsid w:val="00D55F43"/>
    <w:rsid w:val="00D76BDA"/>
    <w:rsid w:val="00DA5F7A"/>
    <w:rsid w:val="00DB3847"/>
    <w:rsid w:val="00E05DE7"/>
    <w:rsid w:val="00E25305"/>
    <w:rsid w:val="00E32953"/>
    <w:rsid w:val="00E443BA"/>
    <w:rsid w:val="00E631DB"/>
    <w:rsid w:val="00E7650F"/>
    <w:rsid w:val="00F2658F"/>
    <w:rsid w:val="00F31F18"/>
    <w:rsid w:val="00F40C35"/>
    <w:rsid w:val="00F70B39"/>
    <w:rsid w:val="00F760C3"/>
    <w:rsid w:val="00F86931"/>
    <w:rsid w:val="00F900A8"/>
    <w:rsid w:val="00F90A14"/>
    <w:rsid w:val="00F9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2189"/>
  <w15:chartTrackingRefBased/>
  <w15:docId w15:val="{42435D85-15FF-457B-A8A6-E98500EC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pl-P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7B7"/>
    <w:pPr>
      <w:spacing w:before="0" w:after="160" w:line="259" w:lineRule="auto"/>
    </w:pPr>
    <w:rPr>
      <w:rFonts w:asciiTheme="minorHAnsi" w:hAnsiTheme="minorHAnsi"/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4BC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4BC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4BC3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4BC3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4BC3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4BC3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4BC3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4BC3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4BC3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4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4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4BC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4BC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4BC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4BC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4BC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4BC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4BC3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4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44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4BC3"/>
    <w:pPr>
      <w:numPr>
        <w:ilvl w:val="1"/>
      </w:numPr>
      <w:spacing w:before="12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44BC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4BC3"/>
    <w:pPr>
      <w:spacing w:before="160" w:line="240" w:lineRule="auto"/>
      <w:jc w:val="center"/>
    </w:pPr>
    <w:rPr>
      <w:rFonts w:ascii="Calibri" w:hAnsi="Calibr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44B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4BC3"/>
    <w:pPr>
      <w:spacing w:before="120" w:after="120" w:line="240" w:lineRule="auto"/>
      <w:ind w:left="720"/>
      <w:contextualSpacing/>
    </w:pPr>
    <w:rPr>
      <w:rFonts w:ascii="Calibri" w:hAnsi="Calibri"/>
      <w:kern w:val="2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44B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4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Calibri" w:hAnsi="Calibr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4B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4BC3"/>
    <w:rPr>
      <w:b/>
      <w:bCs/>
      <w:smallCaps/>
      <w:color w:val="0F4761" w:themeColor="accent1" w:themeShade="BF"/>
      <w:spacing w:val="5"/>
    </w:rPr>
  </w:style>
  <w:style w:type="paragraph" w:customStyle="1" w:styleId="ARTartustawynprozporzdzenia">
    <w:name w:val="ART(§) – art. ustawy (§ np. rozporządzenia)"/>
    <w:uiPriority w:val="11"/>
    <w:qFormat/>
    <w:rsid w:val="009F77B7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F77B7"/>
    <w:rPr>
      <w:bCs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9F77B7"/>
    <w:pPr>
      <w:keepNext/>
      <w:suppressAutoHyphens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lang w:eastAsia="pl-PL"/>
      <w14:ligatures w14:val="none"/>
    </w:rPr>
  </w:style>
  <w:style w:type="character" w:customStyle="1" w:styleId="Ppogrubienie">
    <w:name w:val="_P_ – pogrubienie"/>
    <w:basedOn w:val="Domylnaczcionkaakapitu"/>
    <w:uiPriority w:val="1"/>
    <w:qFormat/>
    <w:rsid w:val="009F77B7"/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4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24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24A3"/>
    <w:rPr>
      <w:rFonts w:asciiTheme="minorHAnsi" w:hAnsiTheme="minorHAns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4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4A3"/>
    <w:rPr>
      <w:rFonts w:asciiTheme="minorHAnsi" w:hAnsiTheme="minorHAnsi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C52350"/>
    <w:pPr>
      <w:spacing w:before="0" w:after="0"/>
    </w:pPr>
    <w:rPr>
      <w:rFonts w:asciiTheme="minorHAnsi" w:hAnsiTheme="minorHAnsi"/>
      <w:kern w:val="0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110A"/>
    <w:pPr>
      <w:spacing w:after="60" w:line="240" w:lineRule="auto"/>
    </w:pPr>
    <w:rPr>
      <w:rFonts w:ascii="Lato" w:eastAsia="Calibri" w:hAnsi="Lato" w:cs="Times New Roman"/>
      <w:sz w:val="18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110A"/>
    <w:rPr>
      <w:rFonts w:ascii="Lato" w:eastAsia="Calibri" w:hAnsi="Lato" w:cs="Times New Roman"/>
      <w:kern w:val="0"/>
      <w:sz w:val="18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110A"/>
    <w:rPr>
      <w:rFonts w:ascii="Lato" w:hAnsi="La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COI</Company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Meissner Jacek</dc:creator>
  <cp:keywords/>
  <dc:description/>
  <cp:lastModifiedBy>Greupner Małgorzata</cp:lastModifiedBy>
  <cp:revision>2</cp:revision>
  <dcterms:created xsi:type="dcterms:W3CDTF">2025-07-10T07:09:00Z</dcterms:created>
  <dcterms:modified xsi:type="dcterms:W3CDTF">2025-07-10T07:09:00Z</dcterms:modified>
</cp:coreProperties>
</file>